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9FF" w:rsidRPr="007949FF" w:rsidRDefault="007949FF" w:rsidP="007949FF">
      <w:pPr>
        <w:shd w:val="clear" w:color="auto" w:fill="FFFFFF"/>
        <w:spacing w:after="150" w:line="456" w:lineRule="atLeast"/>
        <w:outlineLvl w:val="1"/>
        <w:rPr>
          <w:rFonts w:eastAsia="Times New Roman" w:cstheme="minorHAnsi"/>
          <w:b/>
          <w:bCs/>
          <w:caps/>
          <w:color w:val="333333"/>
          <w:sz w:val="24"/>
          <w:szCs w:val="24"/>
        </w:rPr>
      </w:pPr>
      <w:r w:rsidRPr="007949FF">
        <w:rPr>
          <w:rFonts w:eastAsia="Times New Roman" w:cstheme="minorHAnsi"/>
          <w:b/>
          <w:bCs/>
          <w:caps/>
          <w:color w:val="333333"/>
          <w:sz w:val="24"/>
          <w:szCs w:val="24"/>
        </w:rPr>
        <w:t>CARPETBAGGERS</w:t>
      </w:r>
    </w:p>
    <w:p w:rsidR="007949FF" w:rsidRPr="007949FF" w:rsidRDefault="007949FF" w:rsidP="007949FF">
      <w:pPr>
        <w:shd w:val="clear" w:color="auto" w:fill="FFFFFF"/>
        <w:spacing w:after="600" w:line="384" w:lineRule="atLeast"/>
        <w:rPr>
          <w:rFonts w:eastAsia="Times New Roman" w:cstheme="minorHAnsi"/>
          <w:color w:val="101010"/>
          <w:sz w:val="24"/>
          <w:szCs w:val="24"/>
        </w:rPr>
      </w:pPr>
      <w:r w:rsidRPr="007949FF">
        <w:rPr>
          <w:rFonts w:eastAsia="Times New Roman" w:cstheme="minorHAnsi"/>
          <w:color w:val="101010"/>
          <w:sz w:val="24"/>
          <w:szCs w:val="24"/>
        </w:rPr>
        <w:t>In general, the term “carpetbagger” refers to a traveler who arrives in a new region with only a satchel (or carpetbag) of possessions, and who attempts to profit from or gain control over his new surroundings, often against the will or consent of the original inhabitants. After 1865, a number of northerners moved to the South to purchase land, lease plantations or partner with down-and-out planters in the hopes of making money from cotton. At first they were welcomed, as southerners saw the need for northern capital and investment to get the devastated region back on its feet. They later became an object of much scorn, as many southerners saw them as low-class and opportunistic newcomers seeking to get rich on their misfortune.</w:t>
      </w:r>
    </w:p>
    <w:p w:rsidR="007949FF" w:rsidRPr="007949FF" w:rsidRDefault="007949FF" w:rsidP="007949FF">
      <w:pPr>
        <w:shd w:val="clear" w:color="auto" w:fill="FFFFFF"/>
        <w:spacing w:after="600" w:line="384" w:lineRule="atLeast"/>
        <w:rPr>
          <w:rFonts w:eastAsia="Times New Roman" w:cstheme="minorHAnsi"/>
          <w:color w:val="101010"/>
          <w:sz w:val="24"/>
          <w:szCs w:val="24"/>
        </w:rPr>
      </w:pPr>
      <w:r w:rsidRPr="007949FF">
        <w:rPr>
          <w:rFonts w:eastAsia="Times New Roman" w:cstheme="minorHAnsi"/>
          <w:color w:val="101010"/>
          <w:sz w:val="24"/>
          <w:szCs w:val="24"/>
        </w:rPr>
        <w:t>In reality, most Reconstruction-era carpetbaggers were well-educated members of the middle class; they worked as teachers, merchants, journalists or other types of businessmen, or at the Freedman’s Bureau, an organization created by Congress to provide aid for newly liberated black Americans. Many were former Union soldiers. In addition to economic motives, a good number of carpetbaggers saw themselves as reformers and wanted to shape the postwar South in the image of the North, which they considered to be a more advanced society. Though some carpetbaggers undoubtedly lived up to their reputation as corrupt opportunists, many were motivated by a genuine desire for reform and concern for the civil and political rights of freed blacks.</w:t>
      </w:r>
    </w:p>
    <w:p w:rsidR="006D28DE" w:rsidRDefault="00052D78"/>
    <w:p w:rsidR="007949FF" w:rsidRDefault="007949FF"/>
    <w:p w:rsidR="007949FF" w:rsidRDefault="007949FF"/>
    <w:p w:rsidR="007949FF" w:rsidRDefault="007949FF">
      <w:r>
        <w:rPr>
          <w:noProof/>
        </w:rPr>
        <w:lastRenderedPageBreak/>
        <w:drawing>
          <wp:inline distT="0" distB="0" distL="0" distR="0" wp14:anchorId="57612D16" wp14:editId="460B8221">
            <wp:extent cx="6242227" cy="5343525"/>
            <wp:effectExtent l="0" t="0" r="6350" b="0"/>
            <wp:docPr id="1" name="Picture 1" descr="https://figures.boundless.com/4616/full/carpetbagger.j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gures.boundless.com/4616/full/carpetbagger.j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6618" cy="5347284"/>
                    </a:xfrm>
                    <a:prstGeom prst="rect">
                      <a:avLst/>
                    </a:prstGeom>
                    <a:noFill/>
                    <a:ln>
                      <a:noFill/>
                    </a:ln>
                  </pic:spPr>
                </pic:pic>
              </a:graphicData>
            </a:graphic>
          </wp:inline>
        </w:drawing>
      </w:r>
    </w:p>
    <w:p w:rsidR="007949FF" w:rsidRDefault="007949FF"/>
    <w:p w:rsidR="007949FF" w:rsidRDefault="007949FF"/>
    <w:p w:rsidR="007949FF" w:rsidRDefault="007949FF"/>
    <w:p w:rsidR="007949FF" w:rsidRDefault="007949FF"/>
    <w:p w:rsidR="007949FF" w:rsidRDefault="007949FF"/>
    <w:p w:rsidR="007949FF" w:rsidRDefault="007949FF"/>
    <w:p w:rsidR="007949FF" w:rsidRDefault="007949FF"/>
    <w:p w:rsidR="007949FF" w:rsidRDefault="007949FF"/>
    <w:p w:rsidR="007949FF" w:rsidRDefault="007949FF" w:rsidP="007949FF">
      <w:pPr>
        <w:pStyle w:val="ListParagraph"/>
        <w:numPr>
          <w:ilvl w:val="0"/>
          <w:numId w:val="1"/>
        </w:numPr>
      </w:pPr>
      <w:r>
        <w:lastRenderedPageBreak/>
        <w:t xml:space="preserve"> What was a carpetbagger?</w:t>
      </w:r>
    </w:p>
    <w:p w:rsidR="007949FF" w:rsidRDefault="007949FF" w:rsidP="007949FF"/>
    <w:p w:rsidR="007949FF" w:rsidRDefault="007949FF" w:rsidP="007949FF"/>
    <w:p w:rsidR="007949FF" w:rsidRDefault="007949FF" w:rsidP="007949FF"/>
    <w:p w:rsidR="007949FF" w:rsidRDefault="007949FF" w:rsidP="007949FF"/>
    <w:p w:rsidR="007949FF" w:rsidRDefault="007949FF" w:rsidP="007949FF">
      <w:pPr>
        <w:pStyle w:val="ListParagraph"/>
        <w:numPr>
          <w:ilvl w:val="0"/>
          <w:numId w:val="1"/>
        </w:numPr>
      </w:pPr>
      <w:r>
        <w:t xml:space="preserve">Why </w:t>
      </w:r>
      <w:proofErr w:type="gramStart"/>
      <w:r>
        <w:t>were carpetbaggers</w:t>
      </w:r>
      <w:proofErr w:type="gramEnd"/>
      <w:r>
        <w:t xml:space="preserve"> not very well liked in the South?</w:t>
      </w: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numPr>
          <w:ilvl w:val="0"/>
          <w:numId w:val="1"/>
        </w:numPr>
      </w:pPr>
      <w:r>
        <w:t>Why were they called carpetbaggers?</w:t>
      </w:r>
    </w:p>
    <w:p w:rsidR="007949FF" w:rsidRDefault="007949FF" w:rsidP="007949FF"/>
    <w:p w:rsidR="007949FF" w:rsidRDefault="007949FF" w:rsidP="007949FF"/>
    <w:p w:rsidR="007949FF" w:rsidRDefault="007949FF" w:rsidP="007949FF"/>
    <w:p w:rsidR="007949FF" w:rsidRDefault="007949FF" w:rsidP="007949FF"/>
    <w:p w:rsidR="007949FF" w:rsidRDefault="007949FF" w:rsidP="007949FF">
      <w:pPr>
        <w:pStyle w:val="ListParagraph"/>
        <w:numPr>
          <w:ilvl w:val="0"/>
          <w:numId w:val="1"/>
        </w:numPr>
      </w:pPr>
      <w:r>
        <w:t>How does the cartoon make carpetbaggers look?  Use 3 things you see in the cartoon and how they describe a carpetbagger.</w:t>
      </w: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Heading2"/>
        <w:shd w:val="clear" w:color="auto" w:fill="FFFFFF"/>
        <w:spacing w:before="0" w:beforeAutospacing="0" w:after="150" w:afterAutospacing="0" w:line="456" w:lineRule="atLeast"/>
        <w:rPr>
          <w:rFonts w:ascii="Helvetica" w:hAnsi="Helvetica" w:cs="Helvetica"/>
          <w:caps/>
          <w:color w:val="333333"/>
          <w:sz w:val="24"/>
          <w:szCs w:val="24"/>
        </w:rPr>
      </w:pPr>
      <w:r>
        <w:rPr>
          <w:rFonts w:ascii="Helvetica" w:hAnsi="Helvetica" w:cs="Helvetica"/>
          <w:caps/>
          <w:color w:val="333333"/>
          <w:sz w:val="24"/>
          <w:szCs w:val="24"/>
        </w:rPr>
        <w:t>SCALAWAGS</w:t>
      </w:r>
    </w:p>
    <w:p w:rsidR="007949FF" w:rsidRDefault="007949FF" w:rsidP="007949FF">
      <w:pPr>
        <w:pStyle w:val="NormalWeb"/>
        <w:shd w:val="clear" w:color="auto" w:fill="FFFFFF"/>
        <w:spacing w:before="0" w:beforeAutospacing="0" w:after="600" w:afterAutospacing="0" w:line="384" w:lineRule="atLeast"/>
        <w:rPr>
          <w:rFonts w:ascii="Helvetica" w:hAnsi="Helvetica" w:cs="Helvetica"/>
          <w:color w:val="101010"/>
          <w:sz w:val="27"/>
          <w:szCs w:val="27"/>
        </w:rPr>
      </w:pPr>
      <w:r>
        <w:rPr>
          <w:rFonts w:ascii="Helvetica" w:hAnsi="Helvetica" w:cs="Helvetica"/>
          <w:color w:val="101010"/>
          <w:sz w:val="27"/>
          <w:szCs w:val="27"/>
        </w:rPr>
        <w:t>White southern Republicans, known to their enemies as “scalawags,” made up the biggest group of delegates to the Radical Reconstruction-era legislatures. Some scalawags were established planters (mostly in the Deep South) who thought that whites should recognize blacks’ civil and political rights while still retaining control of political and economic life. Many were former Whigs (conservatives) who saw the Republicans as the successors to their old party. The majority of the scalawags were non-slaveholding small farmers as well as merchants, artisans and other professionals who had remained loyal to the Union during the Civil War. Many lived in the northern states of the region, and a number had either served in the Union Army or been imprisoned for Union sympathies. Though they differed in their views on race—many had strong anti-black attitudes—these men wanted to keep the hated “rebels” from regaining power in the postwar South; they also sought to develop the region’s economy and ensure the survival of its debt-ridden small farms.</w:t>
      </w:r>
    </w:p>
    <w:p w:rsidR="007949FF" w:rsidRDefault="007949FF" w:rsidP="007949FF">
      <w:pPr>
        <w:pStyle w:val="NormalWeb"/>
        <w:shd w:val="clear" w:color="auto" w:fill="FFFFFF"/>
        <w:spacing w:before="0" w:beforeAutospacing="0" w:after="600" w:afterAutospacing="0" w:line="384" w:lineRule="atLeast"/>
        <w:rPr>
          <w:rFonts w:ascii="Helvetica" w:hAnsi="Helvetica" w:cs="Helvetica"/>
          <w:color w:val="101010"/>
          <w:sz w:val="27"/>
          <w:szCs w:val="27"/>
        </w:rPr>
      </w:pPr>
      <w:r>
        <w:rPr>
          <w:rFonts w:ascii="Helvetica" w:hAnsi="Helvetica" w:cs="Helvetica"/>
          <w:color w:val="101010"/>
          <w:sz w:val="27"/>
          <w:szCs w:val="27"/>
        </w:rPr>
        <w:t>The term scalawag was originally used as far back as the 1840s to describe a farm animal of little value; it later came to refer to a worthless person. For opponents of Reconstruction, scalawags were even lower on the scale of humanity than carpetbaggers, as they were viewed as traitors to the South. Scalawags had diverse backgrounds and motives, but all of them shared the belief that they could achieve greater advancement in a Republican South than they could by opposing Reconstruction. Taken together, scalawags made up roughly 20 percent of the white electorate and wielded a considerable influence. Many also had political experience from before the war, either as members of Congress or as judges or local officials.</w:t>
      </w: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pPr>
    </w:p>
    <w:p w:rsidR="007949FF" w:rsidRDefault="007949FF" w:rsidP="007949FF">
      <w:pPr>
        <w:pStyle w:val="ListParagraph"/>
        <w:numPr>
          <w:ilvl w:val="0"/>
          <w:numId w:val="2"/>
        </w:numPr>
      </w:pPr>
      <w:r>
        <w:t>What were Scalawags?</w:t>
      </w:r>
    </w:p>
    <w:p w:rsidR="007949FF" w:rsidRDefault="007949FF" w:rsidP="007949FF"/>
    <w:p w:rsidR="007949FF" w:rsidRDefault="007949FF" w:rsidP="007949FF"/>
    <w:p w:rsidR="007949FF" w:rsidRDefault="007949FF" w:rsidP="007949FF"/>
    <w:p w:rsidR="007949FF" w:rsidRDefault="007949FF" w:rsidP="007949FF">
      <w:pPr>
        <w:pStyle w:val="ListParagraph"/>
        <w:numPr>
          <w:ilvl w:val="0"/>
          <w:numId w:val="2"/>
        </w:numPr>
      </w:pPr>
      <w:r>
        <w:t xml:space="preserve"> How were Scalawags viewed in the South?</w:t>
      </w:r>
    </w:p>
    <w:p w:rsidR="007949FF" w:rsidRDefault="007949FF" w:rsidP="007949FF"/>
    <w:p w:rsidR="007949FF" w:rsidRDefault="007949FF" w:rsidP="007949FF"/>
    <w:p w:rsidR="007949FF" w:rsidRDefault="007949FF" w:rsidP="007949FF"/>
    <w:p w:rsidR="007949FF" w:rsidRDefault="007949FF" w:rsidP="007949FF">
      <w:pPr>
        <w:pStyle w:val="ListParagraph"/>
        <w:numPr>
          <w:ilvl w:val="0"/>
          <w:numId w:val="2"/>
        </w:numPr>
      </w:pPr>
      <w:r>
        <w:t>Where did the term Scalawag come from?</w:t>
      </w:r>
    </w:p>
    <w:p w:rsidR="007949FF" w:rsidRDefault="007949FF" w:rsidP="007949FF"/>
    <w:p w:rsidR="007949FF" w:rsidRDefault="007949FF" w:rsidP="007949FF"/>
    <w:p w:rsidR="007949FF" w:rsidRDefault="007949FF" w:rsidP="007949FF"/>
    <w:p w:rsidR="007949FF" w:rsidRDefault="007949FF" w:rsidP="007949FF"/>
    <w:p w:rsidR="007949FF" w:rsidRDefault="007949FF" w:rsidP="007949FF"/>
    <w:p w:rsidR="007949FF" w:rsidRDefault="007949FF" w:rsidP="007949FF">
      <w:pPr>
        <w:pStyle w:val="ListParagraph"/>
        <w:numPr>
          <w:ilvl w:val="0"/>
          <w:numId w:val="2"/>
        </w:numPr>
      </w:pPr>
      <w:r>
        <w:t>How is the Scalawag viewed in this cartoon?  Give 3 examples.</w:t>
      </w:r>
    </w:p>
    <w:p w:rsidR="007949FF" w:rsidRDefault="007949FF" w:rsidP="007949FF"/>
    <w:p w:rsidR="007949FF" w:rsidRDefault="007949FF" w:rsidP="007949FF"/>
    <w:p w:rsidR="007949FF" w:rsidRDefault="007949FF" w:rsidP="007949FF"/>
    <w:p w:rsidR="007949FF" w:rsidRDefault="007949FF" w:rsidP="007949FF"/>
    <w:p w:rsidR="007949FF" w:rsidRDefault="007949FF" w:rsidP="007949FF"/>
    <w:p w:rsidR="007949FF" w:rsidRDefault="007949FF" w:rsidP="007949FF"/>
    <w:p w:rsidR="007949FF" w:rsidRDefault="007949FF" w:rsidP="007949FF"/>
    <w:p w:rsidR="007949FF" w:rsidRDefault="007949FF" w:rsidP="007949FF"/>
    <w:p w:rsidR="007949FF" w:rsidRDefault="007949FF" w:rsidP="007949FF"/>
    <w:p w:rsidR="007949FF" w:rsidRDefault="007949FF" w:rsidP="007949FF"/>
    <w:p w:rsidR="007949FF" w:rsidRDefault="007949FF" w:rsidP="007949FF">
      <w:pPr>
        <w:rPr>
          <w:rFonts w:ascii="Arial" w:hAnsi="Arial" w:cs="Arial"/>
          <w:noProof/>
          <w:color w:val="0000FF"/>
          <w:sz w:val="27"/>
          <w:szCs w:val="27"/>
        </w:rPr>
      </w:pPr>
    </w:p>
    <w:p w:rsidR="007949FF" w:rsidRDefault="008D1112" w:rsidP="008D1112">
      <w:pPr>
        <w:jc w:val="center"/>
      </w:pPr>
      <w:r>
        <w:rPr>
          <w:noProof/>
        </w:rPr>
        <w:drawing>
          <wp:inline distT="0" distB="0" distL="0" distR="0" wp14:anchorId="17609414" wp14:editId="79450C88">
            <wp:extent cx="5353050" cy="6550577"/>
            <wp:effectExtent l="0" t="0" r="0" b="3175"/>
            <wp:docPr id="3" name="Picture 3" descr="http://mrmartinelle.files.wordpress.com/2011/06/transparency-11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rmartinelle.files.wordpress.com/2011/06/transparency-11c.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53050" cy="6550577"/>
                    </a:xfrm>
                    <a:prstGeom prst="rect">
                      <a:avLst/>
                    </a:prstGeom>
                    <a:noFill/>
                    <a:ln>
                      <a:noFill/>
                    </a:ln>
                  </pic:spPr>
                </pic:pic>
              </a:graphicData>
            </a:graphic>
          </wp:inline>
        </w:drawing>
      </w:r>
    </w:p>
    <w:p w:rsidR="008D1112" w:rsidRDefault="008D1112" w:rsidP="008D1112">
      <w:pPr>
        <w:jc w:val="center"/>
      </w:pPr>
    </w:p>
    <w:p w:rsidR="008D1112" w:rsidRDefault="008D1112" w:rsidP="008D1112">
      <w:pPr>
        <w:jc w:val="center"/>
      </w:pPr>
    </w:p>
    <w:p w:rsidR="008D1112" w:rsidRDefault="008D1112" w:rsidP="008D1112">
      <w:pPr>
        <w:jc w:val="center"/>
      </w:pPr>
    </w:p>
    <w:p w:rsidR="008D1112" w:rsidRDefault="008D1112" w:rsidP="008D1112">
      <w:pPr>
        <w:jc w:val="center"/>
      </w:pPr>
    </w:p>
    <w:tbl>
      <w:tblPr>
        <w:tblStyle w:val="TableGrid"/>
        <w:tblW w:w="9952" w:type="dxa"/>
        <w:tblLook w:val="04A0" w:firstRow="1" w:lastRow="0" w:firstColumn="1" w:lastColumn="0" w:noHBand="0" w:noVBand="1"/>
      </w:tblPr>
      <w:tblGrid>
        <w:gridCol w:w="2488"/>
        <w:gridCol w:w="2488"/>
        <w:gridCol w:w="2488"/>
        <w:gridCol w:w="2488"/>
      </w:tblGrid>
      <w:tr w:rsidR="008D1112" w:rsidTr="008D1112">
        <w:trPr>
          <w:trHeight w:val="1102"/>
        </w:trPr>
        <w:tc>
          <w:tcPr>
            <w:tcW w:w="2488" w:type="dxa"/>
          </w:tcPr>
          <w:p w:rsidR="008D1112" w:rsidRDefault="008D1112" w:rsidP="008D1112">
            <w:pPr>
              <w:jc w:val="center"/>
            </w:pPr>
            <w:r>
              <w:t>Term</w:t>
            </w:r>
          </w:p>
        </w:tc>
        <w:tc>
          <w:tcPr>
            <w:tcW w:w="2488" w:type="dxa"/>
          </w:tcPr>
          <w:p w:rsidR="008D1112" w:rsidRDefault="008D1112" w:rsidP="008D1112">
            <w:pPr>
              <w:jc w:val="center"/>
            </w:pPr>
            <w:r>
              <w:t>Definition</w:t>
            </w:r>
          </w:p>
        </w:tc>
        <w:tc>
          <w:tcPr>
            <w:tcW w:w="2488" w:type="dxa"/>
          </w:tcPr>
          <w:p w:rsidR="008D1112" w:rsidRDefault="008D1112" w:rsidP="008D1112">
            <w:pPr>
              <w:jc w:val="center"/>
            </w:pPr>
            <w:r>
              <w:t>Non-Examples</w:t>
            </w:r>
          </w:p>
        </w:tc>
        <w:tc>
          <w:tcPr>
            <w:tcW w:w="2488" w:type="dxa"/>
          </w:tcPr>
          <w:p w:rsidR="008D1112" w:rsidRDefault="008D1112" w:rsidP="008D1112">
            <w:pPr>
              <w:jc w:val="center"/>
            </w:pPr>
            <w:r>
              <w:t>Picture</w:t>
            </w:r>
          </w:p>
        </w:tc>
      </w:tr>
      <w:tr w:rsidR="008D1112" w:rsidTr="008D1112">
        <w:trPr>
          <w:trHeight w:val="1168"/>
        </w:trPr>
        <w:tc>
          <w:tcPr>
            <w:tcW w:w="2488" w:type="dxa"/>
          </w:tcPr>
          <w:p w:rsidR="008D1112" w:rsidRDefault="008D1112" w:rsidP="008D1112">
            <w:pPr>
              <w:jc w:val="center"/>
            </w:pPr>
          </w:p>
          <w:p w:rsidR="008D1112" w:rsidRDefault="008D1112" w:rsidP="008D1112">
            <w:pPr>
              <w:jc w:val="center"/>
            </w:pPr>
            <w:r>
              <w:t>Ku Klux Clan</w:t>
            </w:r>
          </w:p>
        </w:tc>
        <w:tc>
          <w:tcPr>
            <w:tcW w:w="2488" w:type="dxa"/>
          </w:tcPr>
          <w:p w:rsidR="008D1112" w:rsidRDefault="008D1112" w:rsidP="008D1112">
            <w:pPr>
              <w:jc w:val="center"/>
            </w:pPr>
          </w:p>
        </w:tc>
        <w:tc>
          <w:tcPr>
            <w:tcW w:w="2488" w:type="dxa"/>
          </w:tcPr>
          <w:p w:rsidR="008D1112" w:rsidRDefault="008D1112" w:rsidP="008D1112">
            <w:pPr>
              <w:jc w:val="center"/>
            </w:pPr>
          </w:p>
        </w:tc>
        <w:tc>
          <w:tcPr>
            <w:tcW w:w="2488" w:type="dxa"/>
          </w:tcPr>
          <w:p w:rsidR="008D1112" w:rsidRDefault="008D1112" w:rsidP="008D1112">
            <w:pPr>
              <w:jc w:val="center"/>
            </w:pPr>
          </w:p>
        </w:tc>
      </w:tr>
      <w:tr w:rsidR="008D1112" w:rsidTr="008D1112">
        <w:trPr>
          <w:trHeight w:val="1168"/>
        </w:trPr>
        <w:tc>
          <w:tcPr>
            <w:tcW w:w="2488" w:type="dxa"/>
          </w:tcPr>
          <w:p w:rsidR="008D1112" w:rsidRDefault="008D1112" w:rsidP="008D1112">
            <w:pPr>
              <w:jc w:val="center"/>
            </w:pPr>
            <w:r>
              <w:t>Carpetbagger</w:t>
            </w:r>
          </w:p>
        </w:tc>
        <w:tc>
          <w:tcPr>
            <w:tcW w:w="2488" w:type="dxa"/>
          </w:tcPr>
          <w:p w:rsidR="008D1112" w:rsidRDefault="008D1112" w:rsidP="008D1112">
            <w:pPr>
              <w:jc w:val="center"/>
            </w:pPr>
          </w:p>
        </w:tc>
        <w:tc>
          <w:tcPr>
            <w:tcW w:w="2488" w:type="dxa"/>
          </w:tcPr>
          <w:p w:rsidR="008D1112" w:rsidRDefault="008D1112" w:rsidP="008D1112">
            <w:pPr>
              <w:jc w:val="center"/>
            </w:pPr>
          </w:p>
        </w:tc>
        <w:tc>
          <w:tcPr>
            <w:tcW w:w="2488" w:type="dxa"/>
          </w:tcPr>
          <w:p w:rsidR="008D1112" w:rsidRDefault="008D1112" w:rsidP="008D1112">
            <w:pPr>
              <w:jc w:val="center"/>
            </w:pPr>
          </w:p>
        </w:tc>
      </w:tr>
      <w:tr w:rsidR="008D1112" w:rsidTr="008D1112">
        <w:trPr>
          <w:trHeight w:val="1102"/>
        </w:trPr>
        <w:tc>
          <w:tcPr>
            <w:tcW w:w="2488" w:type="dxa"/>
          </w:tcPr>
          <w:p w:rsidR="008D1112" w:rsidRDefault="008D1112" w:rsidP="008D1112">
            <w:pPr>
              <w:jc w:val="center"/>
            </w:pPr>
            <w:r>
              <w:t>Sharecropper</w:t>
            </w:r>
          </w:p>
        </w:tc>
        <w:tc>
          <w:tcPr>
            <w:tcW w:w="2488" w:type="dxa"/>
          </w:tcPr>
          <w:p w:rsidR="008D1112" w:rsidRDefault="008D1112" w:rsidP="008D1112">
            <w:pPr>
              <w:jc w:val="center"/>
            </w:pPr>
          </w:p>
        </w:tc>
        <w:tc>
          <w:tcPr>
            <w:tcW w:w="2488" w:type="dxa"/>
          </w:tcPr>
          <w:p w:rsidR="008D1112" w:rsidRDefault="008D1112" w:rsidP="008D1112">
            <w:pPr>
              <w:jc w:val="center"/>
            </w:pPr>
            <w:bookmarkStart w:id="0" w:name="_GoBack"/>
            <w:bookmarkEnd w:id="0"/>
          </w:p>
        </w:tc>
        <w:tc>
          <w:tcPr>
            <w:tcW w:w="2488" w:type="dxa"/>
          </w:tcPr>
          <w:p w:rsidR="008D1112" w:rsidRDefault="008D1112" w:rsidP="008D1112">
            <w:pPr>
              <w:jc w:val="center"/>
            </w:pPr>
          </w:p>
        </w:tc>
      </w:tr>
      <w:tr w:rsidR="008D1112" w:rsidTr="008D1112">
        <w:trPr>
          <w:trHeight w:val="1168"/>
        </w:trPr>
        <w:tc>
          <w:tcPr>
            <w:tcW w:w="2488" w:type="dxa"/>
          </w:tcPr>
          <w:p w:rsidR="008D1112" w:rsidRDefault="008D1112" w:rsidP="008D1112">
            <w:pPr>
              <w:jc w:val="center"/>
            </w:pPr>
            <w:r>
              <w:t>Scalawag</w:t>
            </w:r>
          </w:p>
        </w:tc>
        <w:tc>
          <w:tcPr>
            <w:tcW w:w="2488" w:type="dxa"/>
          </w:tcPr>
          <w:p w:rsidR="008D1112" w:rsidRDefault="008D1112" w:rsidP="008D1112">
            <w:pPr>
              <w:jc w:val="center"/>
            </w:pPr>
          </w:p>
        </w:tc>
        <w:tc>
          <w:tcPr>
            <w:tcW w:w="2488" w:type="dxa"/>
          </w:tcPr>
          <w:p w:rsidR="008D1112" w:rsidRDefault="008D1112" w:rsidP="008D1112">
            <w:pPr>
              <w:jc w:val="center"/>
            </w:pPr>
          </w:p>
        </w:tc>
        <w:tc>
          <w:tcPr>
            <w:tcW w:w="2488" w:type="dxa"/>
          </w:tcPr>
          <w:p w:rsidR="008D1112" w:rsidRDefault="008D1112" w:rsidP="008D1112">
            <w:pPr>
              <w:jc w:val="center"/>
            </w:pPr>
          </w:p>
        </w:tc>
      </w:tr>
      <w:tr w:rsidR="008D1112" w:rsidTr="008D1112">
        <w:trPr>
          <w:trHeight w:val="1102"/>
        </w:trPr>
        <w:tc>
          <w:tcPr>
            <w:tcW w:w="2488" w:type="dxa"/>
          </w:tcPr>
          <w:p w:rsidR="008D1112" w:rsidRDefault="008D1112" w:rsidP="008D1112">
            <w:pPr>
              <w:jc w:val="center"/>
            </w:pPr>
          </w:p>
          <w:p w:rsidR="008D1112" w:rsidRDefault="008D1112" w:rsidP="008D1112">
            <w:pPr>
              <w:jc w:val="center"/>
            </w:pPr>
            <w:r>
              <w:t>Freedman Bureau</w:t>
            </w:r>
          </w:p>
        </w:tc>
        <w:tc>
          <w:tcPr>
            <w:tcW w:w="2488" w:type="dxa"/>
          </w:tcPr>
          <w:p w:rsidR="008D1112" w:rsidRDefault="008D1112" w:rsidP="008D1112">
            <w:pPr>
              <w:jc w:val="center"/>
            </w:pPr>
          </w:p>
        </w:tc>
        <w:tc>
          <w:tcPr>
            <w:tcW w:w="2488" w:type="dxa"/>
          </w:tcPr>
          <w:p w:rsidR="008D1112" w:rsidRDefault="008D1112" w:rsidP="008D1112">
            <w:pPr>
              <w:jc w:val="center"/>
            </w:pPr>
          </w:p>
        </w:tc>
        <w:tc>
          <w:tcPr>
            <w:tcW w:w="2488" w:type="dxa"/>
          </w:tcPr>
          <w:p w:rsidR="008D1112" w:rsidRDefault="008D1112" w:rsidP="008D1112">
            <w:pPr>
              <w:jc w:val="center"/>
            </w:pPr>
          </w:p>
        </w:tc>
      </w:tr>
      <w:tr w:rsidR="008D1112" w:rsidTr="008D1112">
        <w:trPr>
          <w:trHeight w:val="1231"/>
        </w:trPr>
        <w:tc>
          <w:tcPr>
            <w:tcW w:w="2488" w:type="dxa"/>
          </w:tcPr>
          <w:p w:rsidR="008D1112" w:rsidRDefault="008D1112" w:rsidP="008D1112">
            <w:pPr>
              <w:jc w:val="center"/>
            </w:pPr>
          </w:p>
        </w:tc>
        <w:tc>
          <w:tcPr>
            <w:tcW w:w="2488" w:type="dxa"/>
          </w:tcPr>
          <w:p w:rsidR="008D1112" w:rsidRDefault="008D1112" w:rsidP="008D1112">
            <w:pPr>
              <w:jc w:val="center"/>
            </w:pPr>
          </w:p>
        </w:tc>
        <w:tc>
          <w:tcPr>
            <w:tcW w:w="2488" w:type="dxa"/>
          </w:tcPr>
          <w:p w:rsidR="008D1112" w:rsidRDefault="008D1112" w:rsidP="008D1112">
            <w:pPr>
              <w:jc w:val="center"/>
            </w:pPr>
          </w:p>
        </w:tc>
        <w:tc>
          <w:tcPr>
            <w:tcW w:w="2488" w:type="dxa"/>
          </w:tcPr>
          <w:p w:rsidR="008D1112" w:rsidRDefault="008D1112" w:rsidP="008D1112">
            <w:pPr>
              <w:jc w:val="center"/>
            </w:pPr>
          </w:p>
        </w:tc>
      </w:tr>
    </w:tbl>
    <w:p w:rsidR="008D1112" w:rsidRDefault="008D1112" w:rsidP="008D1112">
      <w:pPr>
        <w:jc w:val="center"/>
      </w:pPr>
    </w:p>
    <w:sectPr w:rsidR="008D11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2180F"/>
    <w:multiLevelType w:val="hybridMultilevel"/>
    <w:tmpl w:val="F01E5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E82267"/>
    <w:multiLevelType w:val="hybridMultilevel"/>
    <w:tmpl w:val="AA68CE24"/>
    <w:lvl w:ilvl="0" w:tplc="9D0678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9FF"/>
    <w:rsid w:val="00052D78"/>
    <w:rsid w:val="007949FF"/>
    <w:rsid w:val="008D1112"/>
    <w:rsid w:val="00904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949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49F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949F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49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9FF"/>
    <w:rPr>
      <w:rFonts w:ascii="Tahoma" w:hAnsi="Tahoma" w:cs="Tahoma"/>
      <w:sz w:val="16"/>
      <w:szCs w:val="16"/>
    </w:rPr>
  </w:style>
  <w:style w:type="paragraph" w:styleId="ListParagraph">
    <w:name w:val="List Paragraph"/>
    <w:basedOn w:val="Normal"/>
    <w:uiPriority w:val="34"/>
    <w:qFormat/>
    <w:rsid w:val="007949FF"/>
    <w:pPr>
      <w:ind w:left="720"/>
      <w:contextualSpacing/>
    </w:pPr>
  </w:style>
  <w:style w:type="table" w:styleId="TableGrid">
    <w:name w:val="Table Grid"/>
    <w:basedOn w:val="TableNormal"/>
    <w:uiPriority w:val="59"/>
    <w:rsid w:val="008D11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949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49F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949F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49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9FF"/>
    <w:rPr>
      <w:rFonts w:ascii="Tahoma" w:hAnsi="Tahoma" w:cs="Tahoma"/>
      <w:sz w:val="16"/>
      <w:szCs w:val="16"/>
    </w:rPr>
  </w:style>
  <w:style w:type="paragraph" w:styleId="ListParagraph">
    <w:name w:val="List Paragraph"/>
    <w:basedOn w:val="Normal"/>
    <w:uiPriority w:val="34"/>
    <w:qFormat/>
    <w:rsid w:val="007949FF"/>
    <w:pPr>
      <w:ind w:left="720"/>
      <w:contextualSpacing/>
    </w:pPr>
  </w:style>
  <w:style w:type="table" w:styleId="TableGrid">
    <w:name w:val="Table Grid"/>
    <w:basedOn w:val="TableNormal"/>
    <w:uiPriority w:val="59"/>
    <w:rsid w:val="008D11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03422">
      <w:bodyDiv w:val="1"/>
      <w:marLeft w:val="0"/>
      <w:marRight w:val="0"/>
      <w:marTop w:val="0"/>
      <w:marBottom w:val="0"/>
      <w:divBdr>
        <w:top w:val="none" w:sz="0" w:space="0" w:color="auto"/>
        <w:left w:val="none" w:sz="0" w:space="0" w:color="auto"/>
        <w:bottom w:val="none" w:sz="0" w:space="0" w:color="auto"/>
        <w:right w:val="none" w:sz="0" w:space="0" w:color="auto"/>
      </w:divBdr>
    </w:div>
    <w:div w:id="45097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Leverock, Kenneth</dc:creator>
  <cp:lastModifiedBy>Leverock, Kenneth</cp:lastModifiedBy>
  <cp:revision>1</cp:revision>
  <cp:lastPrinted>2014-10-06T15:06:00Z</cp:lastPrinted>
  <dcterms:created xsi:type="dcterms:W3CDTF">2014-10-06T14:47:00Z</dcterms:created>
  <dcterms:modified xsi:type="dcterms:W3CDTF">2014-10-06T15:36:00Z</dcterms:modified>
</cp:coreProperties>
</file>